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Fonts w:ascii="Palatino Linotype" w:cs="Palatino Linotype" w:hAnsi="Palatino Linotype" w:eastAsia="Palatino Linotype"/>
          <w:sz w:val="24"/>
          <w:szCs w:val="24"/>
        </w:rPr>
      </w:pPr>
      <w:r>
        <w:drawing xmlns:a="http://schemas.openxmlformats.org/drawingml/2006/main"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line">
              <wp:posOffset>114300</wp:posOffset>
            </wp:positionV>
            <wp:extent cx="2023745" cy="1424940"/>
            <wp:effectExtent l="0" t="0" r="0" b="0"/>
            <wp:wrapSquare wrapText="bothSides" distL="114300" distR="114300" distT="114300" distB="11430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424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 xml:space="preserve">STAR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(</w:t>
      </w:r>
      <w:r>
        <w:rPr>
          <w:rFonts w:ascii="Palatino Linotype" w:cs="Palatino Linotype" w:hAnsi="Palatino Linotype" w:eastAsia="Palatino Linotype"/>
          <w:i w:val="1"/>
          <w:iCs w:val="1"/>
          <w:sz w:val="24"/>
          <w:szCs w:val="24"/>
          <w:rtl w:val="0"/>
          <w:lang w:val="it-IT"/>
        </w:rPr>
        <w:t>Southern Europe Thomson Back-Scattering Source for Applied Research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)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è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un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infrastruttura di ricerca di livello nazionale che ha sede nel campus dell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Universit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della Calabri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a e offre servizi d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indagine scientifica avanzata nel campo della ricerca fondamentale e applicata sui materiali. 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ind w:firstLine="360"/>
        <w:jc w:val="both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Nel 2017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è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stata inserita tra le 18 infrastrutture nazionali strategiche con proiezione internazionale, selezionate nel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Piano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 xml:space="preserve"> Nazionale per le Infrastrutture di Ricerca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(PNIR) 2014-2020, presenza confermata nel pi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ù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recente PNIR 2021-2027. Ci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ò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ha permesso all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Universit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à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della Calabria di ottenere ulteriori finanziamenti finalizzati al suo completamento e potenziamento, attivit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à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attualmente in pieno svolgimento e rese operative a seguito della stipula di una serie di contratti di fornitura tra la medesima Universit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à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e importanti istituzioni di ricerca quali l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Istituto Nazionale di Fisica Nucleare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(INFN) ed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Elettra Sincrotrone Trieste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.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ind w:firstLine="360"/>
        <w:jc w:val="both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STAR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costituita da un insieme di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shd w:val="clear" w:color="auto" w:fill="ffffff"/>
          <w:rtl w:val="0"/>
          <w:lang w:val="it-IT"/>
        </w:rPr>
        <w:t>laboratori multidisciplinari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 per la caratterizzazione ed analisi avanzata di campioni solidi, liquidi e di origine biologica, nonch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é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da laboratori per la prototipazione e test di strumenti industriali. 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ind w:firstLine="360"/>
        <w:jc w:val="both"/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</w:rPr>
      </w:pP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Il suo cuore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lo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shd w:val="clear" w:color="auto" w:fill="ffffff"/>
          <w:rtl w:val="0"/>
          <w:lang w:val="it-IT"/>
        </w:rPr>
        <w:t>STAR-Lab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 che ospita una potente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shd w:val="clear" w:color="auto" w:fill="ffffff"/>
          <w:rtl w:val="0"/>
          <w:lang w:val="it-IT"/>
        </w:rPr>
        <w:t>sorgente di raggi X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 di nuova concezione che consente l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implementazione di tecniche di indagine normalmente prerogativa di macchine molto pi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ù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grandi (i sincrotroni) ma a costi e dimensioni decisamente inferiori. Due linee di fascio (</w:t>
      </w:r>
      <w:r>
        <w:rPr>
          <w:rFonts w:ascii="Palatino Linotype" w:cs="Palatino Linotype" w:hAnsi="Palatino Linotype" w:eastAsia="Palatino Linotype"/>
          <w:i w:val="1"/>
          <w:iCs w:val="1"/>
          <w:sz w:val="24"/>
          <w:szCs w:val="24"/>
          <w:shd w:val="clear" w:color="auto" w:fill="ffffff"/>
          <w:rtl w:val="0"/>
          <w:lang w:val="it-IT"/>
        </w:rPr>
        <w:t>beamlines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), una di alta e una di bassa energia,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trasportano i raggi X fino a due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stazioni sperimentali,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shd w:val="clear" w:color="auto" w:fill="ffffff"/>
          <w:rtl w:val="0"/>
          <w:lang w:val="it-IT"/>
        </w:rPr>
        <w:t>μ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shd w:val="clear" w:color="auto" w:fill="ffffff"/>
          <w:rtl w:val="0"/>
          <w:lang w:val="it-IT"/>
        </w:rPr>
        <w:t>Tomo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per le indagini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i w:val="1"/>
          <w:iCs w:val="1"/>
          <w:sz w:val="24"/>
          <w:szCs w:val="24"/>
          <w:shd w:val="clear" w:color="auto" w:fill="ffffff"/>
          <w:rtl w:val="0"/>
          <w:lang w:val="it-IT"/>
        </w:rPr>
        <w:t>microtomografiche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e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shd w:val="clear" w:color="auto" w:fill="ffffff"/>
          <w:rtl w:val="0"/>
          <w:lang w:val="it-IT"/>
        </w:rPr>
        <w:t>SoftX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per la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i w:val="1"/>
          <w:iCs w:val="1"/>
          <w:sz w:val="24"/>
          <w:szCs w:val="24"/>
          <w:shd w:val="clear" w:color="auto" w:fill="ffffff"/>
          <w:rtl w:val="0"/>
          <w:lang w:val="it-IT"/>
        </w:rPr>
        <w:t>microscopia X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,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dove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possibile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ricostruire in modo non distruttivo campioni di dimensioni che vanno da qualche millimetro a qualche decina di centimetri con una risoluzione spaziale anche sub micrometrica.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I raggi X di STAR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consentono l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analisi sia di materiali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duri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 xml:space="preserve">” 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(quelli ad esempio utilizzati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nei settori meccanico e dell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shd w:val="clear" w:color="auto" w:fill="ffffff"/>
          <w:rtl w:val="0"/>
          <w:lang w:val="it-IT"/>
        </w:rPr>
        <w:t>elettronica) sia della materia biologica (come organi ex-vivo o tessuti umani o animali).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ind w:firstLine="360"/>
        <w:jc w:val="both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I laboratori di STAR non solo sono in grado di offrire un servizio di natura scientifico/tecnologica completo ma serviranno anche come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supporto al territorio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, per fornire un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sostegno alle piccole e medie imprese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che non hanno la possibilit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à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di permettersi laboratori propri.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ind w:firstLine="360"/>
        <w:jc w:val="both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STAR, come tutte le infrastrutture di ricerca europee, per ci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ò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che riguarda i servizi alla ricerca di base,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pu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ò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operare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come una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facility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aperta agli utenti esterni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con l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ulteriore, inestimabile vantaggio di poterlo fare all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interno del pi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ù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grande campus universitario d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Italia. Questa impresa, nata dall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intuizione di pochi ma che ora viaggia sulle spalle di molti,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è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uno degli elementi aggregatori dell'ateneo e ha come obiettivo quello di divenire un 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motore di progresso scientifico, tecnico ed economico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per il Sud d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Italia. 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ind w:firstLine="360"/>
        <w:jc w:val="both"/>
        <w:rPr>
          <w:rFonts w:ascii="Palatino Linotype" w:cs="Palatino Linotype" w:hAnsi="Palatino Linotype" w:eastAsia="Palatino Linotype"/>
          <w:sz w:val="24"/>
          <w:szCs w:val="24"/>
        </w:rPr>
      </w:pP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Fonts w:ascii="Palatino Linotype" w:cs="Palatino Linotype" w:hAnsi="Palatino Linotype" w:eastAsia="Palatino Linotype"/>
          <w:sz w:val="24"/>
          <w:szCs w:val="24"/>
        </w:rPr>
      </w:pP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Indirizzo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: 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Polo Tecnologico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–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Universit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à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della Calabria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>via Tito Flavio, 87036 Rende (CS)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Fonts w:ascii="Palatino Linotype" w:cs="Palatino Linotype" w:hAnsi="Palatino Linotype" w:eastAsia="Palatino Linotype"/>
          <w:b w:val="1"/>
          <w:bCs w:val="1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 xml:space="preserve">Responsabile Scientifico: 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Riccardo Cristoforo BARBERI 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Fonts w:ascii="Palatino Linotype" w:cs="Palatino Linotype" w:hAnsi="Palatino Linotype" w:eastAsia="Palatino Linotype"/>
          <w:b w:val="1"/>
          <w:bCs w:val="1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>E-mail: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Style w:val="Nessuno"/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(responsabile scientifico)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"mailto:riccardo.barberi@fis.unical.it"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riccardo.barberi@fis.unical.it</w:t>
      </w:r>
      <w:r>
        <w:rPr/>
        <w:fldChar w:fldCharType="end" w:fldLock="0"/>
      </w:r>
      <w:r>
        <w:rPr>
          <w:rStyle w:val="Nessuno"/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Style w:val="Nessuno"/>
          <w:rFonts w:ascii="Palatino Linotype" w:cs="Palatino Linotype" w:hAnsi="Palatino Linotype" w:eastAsia="Palatino Linotype"/>
          <w:sz w:val="24"/>
          <w:szCs w:val="24"/>
        </w:rPr>
      </w:pPr>
      <w:r>
        <w:rPr>
          <w:rStyle w:val="Nessuno"/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(area comunicazione)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"mailto:star.comunicazione@unical.it"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star.comunicazione@unical.it</w:t>
      </w:r>
      <w:r>
        <w:rPr/>
        <w:fldChar w:fldCharType="end" w:fldLock="0"/>
      </w:r>
      <w:r>
        <w:rPr>
          <w:rStyle w:val="Nessuno"/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  <w:rPr>
          <w:rStyle w:val="Nessuno"/>
          <w:rFonts w:ascii="Palatino Linotype" w:cs="Palatino Linotype" w:hAnsi="Palatino Linotype" w:eastAsia="Palatino Linotype"/>
          <w:sz w:val="24"/>
          <w:szCs w:val="24"/>
        </w:rPr>
      </w:pPr>
      <w:r>
        <w:rPr>
          <w:rStyle w:val="Nessuno"/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(project manager)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"mailto:star.pm@unical.it"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star.pm@unical.it</w:t>
      </w:r>
      <w:r>
        <w:rPr/>
        <w:fldChar w:fldCharType="end" w:fldLock="0"/>
      </w:r>
      <w:r>
        <w:rPr>
          <w:rStyle w:val="Nessuno"/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</w:t>
      </w:r>
    </w:p>
    <w:p>
      <w:pPr>
        <w:pStyle w:val="LO-normal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240" w:lineRule="auto"/>
        <w:jc w:val="both"/>
      </w:pPr>
      <w:r>
        <w:rPr>
          <w:rStyle w:val="Nessuno"/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 xml:space="preserve">Sito web: </w:t>
      </w:r>
      <w:r>
        <w:rPr>
          <w:rStyle w:val="Nessuno"/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"https://star.unical.it/"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https://star.unical.it/</w:t>
      </w:r>
      <w:r>
        <w:rPr/>
        <w:fldChar w:fldCharType="end" w:fldLock="0"/>
      </w:r>
      <w:r>
        <w:rPr>
          <w:rStyle w:val="Nessuno"/>
          <w:rFonts w:ascii="Palatino Linotype" w:cs="Palatino Linotype" w:hAnsi="Palatino Linotype" w:eastAsia="Palatino Linotype"/>
          <w:sz w:val="24"/>
          <w:szCs w:val="24"/>
          <w:rtl w:val="0"/>
          <w:lang w:val="it-IT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17" w:right="1440" w:bottom="1231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O-normal">
    <w:name w:val="LO-normal"/>
    <w:next w:val="LO-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Palatino Linotype" w:cs="Palatino Linotype" w:hAnsi="Palatino Linotype" w:eastAsia="Palatino Linotype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